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/>
      </w:pPr>
      <w:r>
        <w:rPr>
          <w:sz w:val="20"/>
        </w:rPr>
        <w:t xml:space="preserve">Компетенция Учредителя: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Утверждение Устава Учреждения, изменений в него.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Создание филиалов Учреждения.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Изменение типа Учреждения.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Формирование и утверждение муниципального задания Учреждению в </w:t>
      </w:r>
      <w:r>
        <w:rPr>
          <w:sz w:val="20"/>
        </w:rPr>
        <w:t xml:space="preserve">соответствии с предусмотренными настоящим Уставом основными видами деятельности, и </w:t>
      </w:r>
      <w:r>
        <w:rPr>
          <w:sz w:val="20"/>
        </w:rPr>
        <w:t xml:space="preserve">финансового обеспечения выполнения этого задания.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Утверждение передаточного акта или разделительного баланса.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Принятие решения о реорганизации или ликвидации Учреждения на основании </w:t>
      </w:r>
      <w:r>
        <w:rPr>
          <w:sz w:val="20"/>
        </w:rPr>
        <w:t xml:space="preserve">положительного заключения комиссии по оценке последствий такого решения и с учетом </w:t>
      </w:r>
      <w:r>
        <w:rPr>
          <w:sz w:val="20"/>
        </w:rPr>
        <w:t xml:space="preserve">мнения жителей городского поселения, в котором расположено Учреждение.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Назначение ликвидационной комиссии, установление порядка и сроков </w:t>
      </w:r>
      <w:r>
        <w:rPr>
          <w:sz w:val="20"/>
        </w:rPr>
        <w:t xml:space="preserve">ликвидации Учреждения в соответствии с Гражданским кодексом Российской Федерации, </w:t>
      </w:r>
      <w:r>
        <w:rPr>
          <w:sz w:val="20"/>
        </w:rPr>
        <w:t xml:space="preserve">другими законами.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Утверждение промежуточного и окончательного ликвидационных балансов.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Назначение заведующего Учреждением и прекращение его полномочий, а </w:t>
      </w:r>
      <w:r>
        <w:rPr>
          <w:sz w:val="20"/>
        </w:rPr>
        <w:t xml:space="preserve">также заключение и прекращение трудового договора с ним.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Установление порядка и сроков проведения аттестации кандидатов на </w:t>
      </w:r>
      <w:r>
        <w:rPr>
          <w:sz w:val="20"/>
        </w:rPr>
        <w:t xml:space="preserve">должность заведующего Учреждения.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Установление порядка составления и утверждения отчета о результатах </w:t>
      </w:r>
      <w:r>
        <w:rPr>
          <w:sz w:val="20"/>
        </w:rPr>
        <w:t xml:space="preserve">деятельности Учреждения и об использовании закрепленного за ним муниципального </w:t>
      </w:r>
      <w:r>
        <w:rPr>
          <w:sz w:val="20"/>
        </w:rPr>
        <w:t xml:space="preserve">имущества.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Утверждение плана финансово-хозяйственной деятельности Учреждения в </w:t>
      </w:r>
      <w:r>
        <w:rPr>
          <w:sz w:val="20"/>
        </w:rPr>
        <w:t xml:space="preserve">соответствии с требованиями, определенными Министерством финансов Российской </w:t>
      </w:r>
      <w:r>
        <w:rPr>
          <w:sz w:val="20"/>
        </w:rPr>
        <w:t xml:space="preserve">Федерации.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Перевод обучающихся с согласия их родителей (законных представителей), в </w:t>
      </w:r>
      <w:r>
        <w:rPr>
          <w:sz w:val="20"/>
        </w:rPr>
        <w:t xml:space="preserve">случае прекращения, либо приостановки деятельности Учреждения, в другие организации, </w:t>
      </w:r>
      <w:r>
        <w:rPr>
          <w:sz w:val="20"/>
        </w:rPr>
        <w:t xml:space="preserve">осуществляющие образовательную деятельность по образовательным программам </w:t>
      </w:r>
      <w:r>
        <w:rPr>
          <w:sz w:val="20"/>
        </w:rPr>
        <w:t xml:space="preserve">соответствующих уровня и направленности.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Проведение перед сдачей Учреждением в аренду имущества, закрепленного за </w:t>
      </w:r>
      <w:r>
        <w:rPr>
          <w:sz w:val="20"/>
        </w:rPr>
        <w:t xml:space="preserve">ним на праве оперативного управления, экспертной оценки последствий заключения </w:t>
      </w:r>
      <w:r>
        <w:rPr>
          <w:sz w:val="20"/>
        </w:rPr>
        <w:t xml:space="preserve">договора аренды для обеспечения образования, воспитания, развития, отдыха и </w:t>
      </w:r>
      <w:r>
        <w:rPr>
          <w:sz w:val="20"/>
        </w:rPr>
        <w:t xml:space="preserve">оздоровления детей, оказания им медицинской, лечебно-профилактической помощи, </w:t>
      </w:r>
      <w:r>
        <w:rPr>
          <w:sz w:val="20"/>
        </w:rPr>
        <w:t xml:space="preserve">социальной защиты и социального обслуживания детей.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Установление платы, взимаемой с родителей (законных представителей) </w:t>
      </w:r>
      <w:r>
        <w:rPr>
          <w:sz w:val="20"/>
        </w:rPr>
        <w:t xml:space="preserve">обучающихся (далее - родительская плата) за присмотр и уход за ребенком, и ее размера, </w:t>
      </w:r>
      <w:r>
        <w:rPr>
          <w:sz w:val="20"/>
        </w:rPr>
        <w:t xml:space="preserve">если иное не установлено Федеральным законом «Об образовании в Российской </w:t>
      </w:r>
      <w:r>
        <w:rPr>
          <w:sz w:val="20"/>
        </w:rPr>
        <w:t xml:space="preserve">Федерации».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Принятие решения о снижении размера родительской платы или о не взимании </w:t>
      </w:r>
      <w:r>
        <w:rPr>
          <w:sz w:val="20"/>
        </w:rPr>
        <w:t xml:space="preserve">ее с отдельных категорий родителей (законных представителей) обучающихся в случаях и </w:t>
      </w:r>
      <w:r>
        <w:rPr>
          <w:sz w:val="20"/>
        </w:rPr>
        <w:t xml:space="preserve">порядке, определяемых Федеральным законом «Об образовании в Российской Федерации».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Установление предельно допустимого значения просроченной кредиторской </w:t>
      </w:r>
      <w:r>
        <w:rPr>
          <w:sz w:val="20"/>
        </w:rPr>
        <w:t xml:space="preserve">задолженности Учреждения, превышение которого влечет расторжение трудового договора с </w:t>
      </w:r>
      <w:r>
        <w:rPr>
          <w:sz w:val="20"/>
        </w:rPr>
        <w:t xml:space="preserve">заведующим Учреждением по инициативе работодателя в соответствии с Трудовым </w:t>
      </w:r>
      <w:r>
        <w:rPr>
          <w:sz w:val="20"/>
        </w:rPr>
        <w:t xml:space="preserve">кодексом Российской Федерации.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Выделение средств на приобретение имущества.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Закрепление муниципального имущества за Учреждением на праве </w:t>
      </w:r>
      <w:r>
        <w:rPr>
          <w:sz w:val="20"/>
        </w:rPr>
        <w:t xml:space="preserve">оперативного управления.9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Утверждение перечня особо ценного движимого имущества Учреждения, а </w:t>
      </w:r>
      <w:r>
        <w:rPr>
          <w:sz w:val="20"/>
        </w:rPr>
        <w:t xml:space="preserve">также внесения в него изменений.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Осуществление контроля за деятельностью Учреждения.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Составление и направление иска о признании недействительной крупной </w:t>
      </w:r>
      <w:r>
        <w:rPr>
          <w:sz w:val="20"/>
        </w:rPr>
        <w:t xml:space="preserve">сделки, совершенной с нарушением требований действующего Федерального закона «О </w:t>
      </w:r>
      <w:r>
        <w:rPr>
          <w:sz w:val="20"/>
        </w:rPr>
        <w:t xml:space="preserve">некоммерческих организациях».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Осуществление иных функций и полномочий, </w:t>
      </w:r>
      <w:r>
        <w:rPr>
          <w:sz w:val="20"/>
        </w:rPr>
        <w:t xml:space="preserve">предусмотренных </w:t>
      </w:r>
      <w:r>
        <w:rPr>
          <w:sz w:val="20"/>
        </w:rPr>
        <w:t xml:space="preserve">действующим законодательством.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Прекращение трудовых отношений с заведующим Учреждения в случаях </w:t>
      </w:r>
      <w:r>
        <w:rPr>
          <w:sz w:val="20"/>
        </w:rPr>
        <w:t xml:space="preserve">совершения сделок с имуществом, находящимся в оперативном управлении Учреждения, с </w:t>
      </w:r>
      <w:r>
        <w:rPr>
          <w:sz w:val="20"/>
        </w:rPr>
        <w:t xml:space="preserve">нарушением требований законодательства; неиспользования имущества Учреждения по </w:t>
      </w:r>
      <w:r>
        <w:rPr>
          <w:sz w:val="20"/>
        </w:rPr>
        <w:t xml:space="preserve">целевому назначению в соответствии с видами деятельности, установленными настоящим </w:t>
      </w:r>
      <w:r>
        <w:rPr>
          <w:sz w:val="20"/>
        </w:rPr>
        <w:t xml:space="preserve">Уставом; неисполнения поручений Учредителя, данных в пределах компетенции </w:t>
      </w:r>
      <w:r>
        <w:rPr>
          <w:sz w:val="20"/>
        </w:rPr>
        <w:t xml:space="preserve">собственника имущества.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jc w:val="both"/>
        <w:spacing w:lineRule="auto" w:line="240"/>
      </w:pPr>
      <w:r>
        <w:rPr>
          <w:sz w:val="20"/>
        </w:rPr>
        <w:t xml:space="preserve">Имеет право дать согласие на:</w:t>
      </w:r>
      <w:r>
        <w:rPr>
          <w:sz w:val="20"/>
        </w:rPr>
      </w:r>
      <w:r/>
    </w:p>
    <w:p>
      <w:pPr>
        <w:pStyle w:val="617"/>
        <w:numPr>
          <w:ilvl w:val="1"/>
          <w:numId w:val="1"/>
        </w:numPr>
        <w:jc w:val="both"/>
        <w:spacing w:lineRule="auto" w:line="240"/>
      </w:pPr>
      <w:r>
        <w:rPr>
          <w:sz w:val="20"/>
        </w:rPr>
        <w:t xml:space="preserve">распоряжение особо ценным движимым имуществом, закрепленным за </w:t>
      </w:r>
      <w:r>
        <w:rPr>
          <w:sz w:val="20"/>
        </w:rPr>
        <w:t xml:space="preserve">Учреждением </w:t>
      </w:r>
      <w:r>
        <w:rPr>
          <w:sz w:val="20"/>
        </w:rPr>
        <w:t xml:space="preserve">или приобретенным Учреждением за счет средств, выделенных ему </w:t>
      </w:r>
      <w:r>
        <w:rPr>
          <w:sz w:val="20"/>
        </w:rPr>
        <w:t xml:space="preserve">Учредителем на приобретение такого имущества, а также недвижимым имуществом;</w:t>
      </w:r>
      <w:r>
        <w:rPr>
          <w:sz w:val="20"/>
        </w:rPr>
      </w:r>
      <w:r/>
    </w:p>
    <w:p>
      <w:pPr>
        <w:pStyle w:val="617"/>
        <w:numPr>
          <w:ilvl w:val="1"/>
          <w:numId w:val="1"/>
        </w:numPr>
        <w:jc w:val="both"/>
        <w:spacing w:lineRule="auto" w:line="240"/>
      </w:pPr>
      <w:r>
        <w:rPr>
          <w:sz w:val="20"/>
        </w:rPr>
        <w:t xml:space="preserve">передачу некоммерческим организациям в качестве их учредителя (участника) </w:t>
      </w:r>
      <w:r>
        <w:rPr>
          <w:sz w:val="20"/>
        </w:rPr>
        <w:t xml:space="preserve">денежных средств (если иное не установлено условиями предоставления денежных средств) </w:t>
      </w:r>
      <w:r>
        <w:rPr>
          <w:sz w:val="20"/>
        </w:rPr>
        <w:t xml:space="preserve">и иного имущества, за исключением особо ценного движимого имущества, закрепленного за </w:t>
      </w:r>
      <w:r>
        <w:rPr>
          <w:sz w:val="20"/>
        </w:rPr>
        <w:t xml:space="preserve">ним Учредителем или приобретенного Учреждением за счет денежных средств, выделенных </w:t>
      </w:r>
      <w:r>
        <w:rPr>
          <w:sz w:val="20"/>
        </w:rPr>
        <w:t xml:space="preserve">ему Учредителем на приобретение такого имущества, а также недвижимого имущества;</w:t>
      </w:r>
      <w:r>
        <w:rPr>
          <w:sz w:val="20"/>
        </w:rPr>
      </w:r>
      <w:r/>
    </w:p>
    <w:p>
      <w:pPr>
        <w:pStyle w:val="617"/>
        <w:numPr>
          <w:ilvl w:val="1"/>
          <w:numId w:val="1"/>
        </w:numPr>
        <w:jc w:val="both"/>
        <w:spacing w:lineRule="auto" w:line="240"/>
      </w:pPr>
      <w:r>
        <w:rPr>
          <w:sz w:val="20"/>
        </w:rPr>
        <w:t xml:space="preserve">внесение денежных средств и иного имущества, за исключением особо ценного </w:t>
      </w:r>
      <w:r>
        <w:rPr>
          <w:sz w:val="20"/>
        </w:rPr>
        <w:t xml:space="preserve">движимого имущества, закрепленного за ним Учредителем или приобретенного </w:t>
      </w:r>
      <w:r>
        <w:rPr>
          <w:sz w:val="20"/>
        </w:rPr>
        <w:t xml:space="preserve">Учреждением за счет денежных средств, выделенных ему Учредителем на приобретение </w:t>
      </w:r>
      <w:r>
        <w:rPr>
          <w:sz w:val="20"/>
        </w:rPr>
        <w:t xml:space="preserve">такого имущества, а также недвижимого имущества, в уставный капитал хозяйственных </w:t>
      </w:r>
      <w:r>
        <w:rPr>
          <w:sz w:val="20"/>
        </w:rPr>
        <w:t xml:space="preserve">обществ или складочный капитал хозяйственных партнерств либо иным образом передачу </w:t>
      </w:r>
      <w:r>
        <w:rPr>
          <w:sz w:val="20"/>
        </w:rPr>
        <w:t xml:space="preserve">им этого имущества в качестве их учредителя (участника);</w:t>
      </w:r>
      <w:r>
        <w:rPr>
          <w:sz w:val="20"/>
        </w:rPr>
      </w:r>
      <w:r/>
    </w:p>
    <w:p>
      <w:pPr>
        <w:pStyle w:val="617"/>
        <w:numPr>
          <w:ilvl w:val="1"/>
          <w:numId w:val="1"/>
        </w:numPr>
        <w:jc w:val="both"/>
        <w:spacing w:lineRule="auto" w:line="240"/>
      </w:pPr>
      <w:r>
        <w:rPr>
          <w:sz w:val="20"/>
        </w:rPr>
        <w:t xml:space="preserve">совершение Учреждением крупных сделок, соответствующих критериям, </w:t>
      </w:r>
      <w:r>
        <w:rPr>
          <w:sz w:val="20"/>
        </w:rPr>
        <w:t xml:space="preserve">установленным действующим Федеральным законом «О некоммерческих организациях»;</w:t>
      </w:r>
      <w:r>
        <w:rPr>
          <w:sz w:val="20"/>
        </w:rPr>
      </w:r>
      <w:r/>
    </w:p>
    <w:p>
      <w:pPr>
        <w:pStyle w:val="617"/>
        <w:numPr>
          <w:ilvl w:val="1"/>
          <w:numId w:val="1"/>
        </w:numPr>
        <w:jc w:val="both"/>
        <w:spacing w:lineRule="auto" w:line="240"/>
      </w:pPr>
      <w:r>
        <w:rPr>
          <w:sz w:val="20"/>
        </w:rPr>
        <w:t xml:space="preserve">одобрение сделки, в совершении которой имеется заинтересованность, </w:t>
      </w:r>
      <w:r>
        <w:rPr>
          <w:sz w:val="20"/>
        </w:rPr>
        <w:t xml:space="preserve">определяемая в соответствии с критериями, установленными действующим Федеральным </w:t>
      </w:r>
      <w:r>
        <w:rPr>
          <w:sz w:val="20"/>
        </w:rPr>
        <w:t xml:space="preserve">законом «О некоммерческих организациях».</w:t>
      </w:r>
      <w:r>
        <w:rPr>
          <w:sz w:val="20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Wingdings">
    <w:panose1 w:val="0501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decimal"/>
      <w:isLgl w:val="false"/>
      <w:suff w:val="tab"/>
      <w:lvlText w:val="%2)"/>
      <w:lvlJc w:val="right"/>
      <w:pPr>
        <w:ind w:left="1440"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2021-05-04T10:47:06Z</dcterms:modified>
</cp:coreProperties>
</file>